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C90321" w:rsidRDefault="00C90321" w:rsidP="00C90321">
      <w:pPr>
        <w:pStyle w:val="NormalWeb"/>
        <w:shd w:val="clear" w:color="auto" w:fill="FFFFFF"/>
        <w:spacing w:before="0" w:beforeAutospacing="0" w:after="0" w:afterAutospacing="0" w:line="480" w:lineRule="auto"/>
        <w:textAlignment w:val="baseline"/>
        <w:rPr>
          <w:color w:val="262626"/>
        </w:rPr>
      </w:pPr>
    </w:p>
    <w:p w:rsidR="00C90321" w:rsidRDefault="00C90321"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942968" w:rsidRPr="00A6545F" w:rsidRDefault="00D740F1" w:rsidP="00C90321">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Evolution of Accounting</w:t>
      </w:r>
    </w:p>
    <w:p w:rsidR="00942968" w:rsidRPr="00A6545F" w:rsidRDefault="00D740F1" w:rsidP="00C90321">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Student</w:t>
      </w:r>
      <w:r w:rsidR="00E51F6E">
        <w:rPr>
          <w:rFonts w:ascii="Times New Roman" w:hAnsi="Times New Roman" w:cs="Times New Roman"/>
          <w:color w:val="000000" w:themeColor="text1"/>
          <w:sz w:val="24"/>
          <w:szCs w:val="24"/>
        </w:rPr>
        <w:t>'</w:t>
      </w:r>
      <w:r w:rsidRPr="00A6545F">
        <w:rPr>
          <w:rFonts w:ascii="Times New Roman" w:hAnsi="Times New Roman" w:cs="Times New Roman"/>
          <w:color w:val="000000" w:themeColor="text1"/>
          <w:sz w:val="24"/>
          <w:szCs w:val="24"/>
        </w:rPr>
        <w:t>s Name</w:t>
      </w:r>
    </w:p>
    <w:p w:rsidR="00942968" w:rsidRPr="00A6545F" w:rsidRDefault="00D740F1" w:rsidP="00C90321">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Institutional Affiliation</w:t>
      </w:r>
    </w:p>
    <w:p w:rsidR="00942968" w:rsidRPr="00A6545F" w:rsidRDefault="00D740F1" w:rsidP="00C90321">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Date</w:t>
      </w:r>
    </w:p>
    <w:p w:rsidR="00942968" w:rsidRDefault="00942968" w:rsidP="00C90321">
      <w:pPr>
        <w:shd w:val="clear" w:color="auto" w:fill="FFFFFF"/>
        <w:spacing w:after="0" w:line="480" w:lineRule="auto"/>
        <w:jc w:val="center"/>
        <w:textAlignment w:val="baseline"/>
        <w:outlineLvl w:val="0"/>
        <w:rPr>
          <w:rFonts w:ascii="Times New Roman" w:eastAsia="Times New Roman" w:hAnsi="Times New Roman" w:cs="Times New Roman"/>
          <w:color w:val="1A1A1A"/>
          <w:spacing w:val="-1"/>
          <w:kern w:val="36"/>
          <w:sz w:val="24"/>
          <w:szCs w:val="24"/>
        </w:rPr>
      </w:pPr>
    </w:p>
    <w:p w:rsidR="0059762F" w:rsidRDefault="0059762F" w:rsidP="00C90321">
      <w:pPr>
        <w:pStyle w:val="NormalWeb"/>
        <w:shd w:val="clear" w:color="auto" w:fill="FFFFFF"/>
        <w:spacing w:before="0" w:beforeAutospacing="0" w:after="0" w:afterAutospacing="0" w:line="480" w:lineRule="auto"/>
        <w:jc w:val="center"/>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59762F" w:rsidRDefault="0059762F" w:rsidP="00C90321">
      <w:pPr>
        <w:pStyle w:val="NormalWeb"/>
        <w:shd w:val="clear" w:color="auto" w:fill="FFFFFF"/>
        <w:spacing w:before="0" w:beforeAutospacing="0" w:after="0" w:afterAutospacing="0" w:line="480" w:lineRule="auto"/>
        <w:textAlignment w:val="baseline"/>
        <w:rPr>
          <w:color w:val="262626"/>
        </w:rPr>
      </w:pPr>
    </w:p>
    <w:p w:rsidR="00942968" w:rsidRDefault="00942968" w:rsidP="00C90321">
      <w:pPr>
        <w:pStyle w:val="NormalWeb"/>
        <w:shd w:val="clear" w:color="auto" w:fill="FFFFFF"/>
        <w:spacing w:before="0" w:beforeAutospacing="0" w:after="0" w:afterAutospacing="0" w:line="480" w:lineRule="auto"/>
        <w:textAlignment w:val="baseline"/>
        <w:rPr>
          <w:color w:val="262626"/>
        </w:rPr>
      </w:pPr>
    </w:p>
    <w:p w:rsidR="00942968" w:rsidRDefault="00D740F1" w:rsidP="00C90321">
      <w:pPr>
        <w:pStyle w:val="NormalWeb"/>
        <w:shd w:val="clear" w:color="auto" w:fill="FFFFFF"/>
        <w:spacing w:before="0" w:beforeAutospacing="0" w:after="0" w:afterAutospacing="0" w:line="480" w:lineRule="auto"/>
        <w:jc w:val="center"/>
        <w:textAlignment w:val="baseline"/>
        <w:rPr>
          <w:color w:val="262626"/>
        </w:rPr>
      </w:pPr>
      <w:r>
        <w:rPr>
          <w:color w:val="262626"/>
        </w:rPr>
        <w:lastRenderedPageBreak/>
        <w:t>Evolution of Accounting</w:t>
      </w:r>
    </w:p>
    <w:p w:rsidR="000F2A5D" w:rsidRPr="00942968" w:rsidRDefault="00D740F1" w:rsidP="00C90321">
      <w:pPr>
        <w:pStyle w:val="NormalWeb"/>
        <w:shd w:val="clear" w:color="auto" w:fill="FFFFFF"/>
        <w:spacing w:before="0" w:beforeAutospacing="0" w:after="0" w:afterAutospacing="0" w:line="480" w:lineRule="auto"/>
        <w:ind w:firstLine="720"/>
        <w:textAlignment w:val="baseline"/>
        <w:rPr>
          <w:color w:val="000000" w:themeColor="text1"/>
        </w:rPr>
      </w:pPr>
      <w:r w:rsidRPr="00942968">
        <w:rPr>
          <w:color w:val="000000" w:themeColor="text1"/>
        </w:rPr>
        <w:t xml:space="preserve">In the ancient days, </w:t>
      </w:r>
      <w:r w:rsidR="00E51F6E">
        <w:rPr>
          <w:color w:val="000000" w:themeColor="text1"/>
        </w:rPr>
        <w:t xml:space="preserve">a </w:t>
      </w:r>
      <w:r w:rsidRPr="00942968">
        <w:rPr>
          <w:color w:val="000000" w:themeColor="text1"/>
        </w:rPr>
        <w:t>group of traders was bound by the duty of satisfying a small group of businesspeople who were their friends, associates</w:t>
      </w:r>
      <w:r w:rsidR="00E51F6E">
        <w:rPr>
          <w:color w:val="000000" w:themeColor="text1"/>
        </w:rPr>
        <w:t>,</w:t>
      </w:r>
      <w:r w:rsidRPr="00942968">
        <w:rPr>
          <w:color w:val="000000" w:themeColor="text1"/>
        </w:rPr>
        <w:t xml:space="preserve"> and relatives in financing businesses. In today</w:t>
      </w:r>
      <w:r w:rsidR="00E51F6E">
        <w:rPr>
          <w:color w:val="000000" w:themeColor="text1"/>
        </w:rPr>
        <w:t>'</w:t>
      </w:r>
      <w:r w:rsidRPr="00942968">
        <w:rPr>
          <w:color w:val="000000" w:themeColor="text1"/>
        </w:rPr>
        <w:t>s world, investors engage their finances in many companies located in various places. Business enterprises are bound by the law to provide financial statements for investors, creditors, and government authorities</w:t>
      </w:r>
      <w:r w:rsidR="0059762F" w:rsidRPr="00942968">
        <w:rPr>
          <w:color w:val="000000" w:themeColor="text1"/>
        </w:rPr>
        <w:t xml:space="preserve"> (</w:t>
      </w:r>
      <w:r w:rsidR="0059762F" w:rsidRPr="00942968">
        <w:rPr>
          <w:color w:val="000000" w:themeColor="text1"/>
          <w:shd w:val="clear" w:color="auto" w:fill="FFFFFF"/>
        </w:rPr>
        <w:t>Camfferman &amp; Zeff, 2015)</w:t>
      </w:r>
      <w:r w:rsidRPr="00942968">
        <w:rPr>
          <w:color w:val="000000" w:themeColor="text1"/>
        </w:rPr>
        <w:t xml:space="preserve">. </w:t>
      </w:r>
      <w:r w:rsidR="00E51F6E">
        <w:rPr>
          <w:color w:val="000000" w:themeColor="text1"/>
        </w:rPr>
        <w:t>Accounting standards aim</w:t>
      </w:r>
      <w:r w:rsidRPr="00942968">
        <w:rPr>
          <w:color w:val="000000" w:themeColor="text1"/>
        </w:rPr>
        <w:t xml:space="preserve"> to enhance the </w:t>
      </w:r>
      <w:r w:rsidR="00E51F6E">
        <w:rPr>
          <w:color w:val="000000" w:themeColor="text1"/>
        </w:rPr>
        <w:t>rule</w:t>
      </w:r>
      <w:r w:rsidRPr="00942968">
        <w:rPr>
          <w:color w:val="000000" w:themeColor="text1"/>
        </w:rPr>
        <w:t>s of the accounts and to ensure that there are no discrepancies in accounting approaches. Organizations follow the provided guidelines of accounting</w:t>
      </w:r>
      <w:r w:rsidR="00E51F6E">
        <w:rPr>
          <w:color w:val="000000" w:themeColor="text1"/>
        </w:rPr>
        <w:t>,</w:t>
      </w:r>
      <w:r w:rsidRPr="00942968">
        <w:rPr>
          <w:color w:val="000000" w:themeColor="text1"/>
        </w:rPr>
        <w:t xml:space="preserve"> which are followed globally to enhance ease in comparing financing statements which inform</w:t>
      </w:r>
      <w:r w:rsidR="00E51F6E">
        <w:rPr>
          <w:color w:val="000000" w:themeColor="text1"/>
        </w:rPr>
        <w:t>ation</w:t>
      </w:r>
      <w:r w:rsidRPr="00942968">
        <w:rPr>
          <w:color w:val="000000" w:themeColor="text1"/>
        </w:rPr>
        <w:t xml:space="preserve"> about the performance of various companies. </w:t>
      </w:r>
      <w:r w:rsidR="00EE709A" w:rsidRPr="00942968">
        <w:rPr>
          <w:color w:val="000000" w:themeColor="text1"/>
        </w:rPr>
        <w:t xml:space="preserve">Companies </w:t>
      </w:r>
      <w:r w:rsidR="00E51F6E">
        <w:rPr>
          <w:color w:val="000000" w:themeColor="text1"/>
        </w:rPr>
        <w:t>can</w:t>
      </w:r>
      <w:r w:rsidR="00EE709A" w:rsidRPr="00942968">
        <w:rPr>
          <w:color w:val="000000" w:themeColor="text1"/>
        </w:rPr>
        <w:t xml:space="preserve"> compare their performances based on financial </w:t>
      </w:r>
      <w:r w:rsidR="00E51F6E">
        <w:rPr>
          <w:color w:val="000000" w:themeColor="text1"/>
        </w:rPr>
        <w:t>accou</w:t>
      </w:r>
      <w:r w:rsidR="00EE709A" w:rsidRPr="00942968">
        <w:rPr>
          <w:color w:val="000000" w:themeColor="text1"/>
        </w:rPr>
        <w:t>nts under the International Financial Reporting Standards (IFRS) and Generally Accepted Accounting Principles (GAAP).</w:t>
      </w:r>
    </w:p>
    <w:p w:rsidR="00213DC1" w:rsidRDefault="00D740F1" w:rsidP="00C90321">
      <w:pPr>
        <w:pStyle w:val="NormalWeb"/>
        <w:shd w:val="clear" w:color="auto" w:fill="FFFFFF"/>
        <w:spacing w:before="0" w:beforeAutospacing="0" w:after="0" w:afterAutospacing="0" w:line="480" w:lineRule="auto"/>
        <w:ind w:firstLine="720"/>
        <w:textAlignment w:val="baseline"/>
        <w:rPr>
          <w:color w:val="000000" w:themeColor="text1"/>
        </w:rPr>
      </w:pPr>
      <w:r w:rsidRPr="00942968">
        <w:rPr>
          <w:color w:val="000000" w:themeColor="text1"/>
        </w:rPr>
        <w:t>Modern accounting is said to hav</w:t>
      </w:r>
      <w:r w:rsidR="00011083" w:rsidRPr="00942968">
        <w:rPr>
          <w:color w:val="000000" w:themeColor="text1"/>
        </w:rPr>
        <w:t>e originated from the work of Lo</w:t>
      </w:r>
      <w:r w:rsidRPr="00942968">
        <w:rPr>
          <w:color w:val="000000" w:themeColor="text1"/>
        </w:rPr>
        <w:t>ca Pacioli, an Italian monk. In 1494, he revealed the double</w:t>
      </w:r>
      <w:r w:rsidR="00E51F6E">
        <w:rPr>
          <w:color w:val="000000" w:themeColor="text1"/>
        </w:rPr>
        <w:t>-</w:t>
      </w:r>
      <w:r w:rsidRPr="00942968">
        <w:rPr>
          <w:color w:val="000000" w:themeColor="text1"/>
        </w:rPr>
        <w:t>entry system</w:t>
      </w:r>
      <w:r w:rsidR="00E51F6E">
        <w:rPr>
          <w:color w:val="000000" w:themeColor="text1"/>
        </w:rPr>
        <w:t>, which</w:t>
      </w:r>
      <w:r w:rsidRPr="00942968">
        <w:rPr>
          <w:color w:val="000000" w:themeColor="text1"/>
        </w:rPr>
        <w:t xml:space="preserve"> has remained to be </w:t>
      </w:r>
      <w:r w:rsidR="00E51F6E">
        <w:rPr>
          <w:color w:val="000000" w:themeColor="text1"/>
        </w:rPr>
        <w:t>a significant approach</w:t>
      </w:r>
      <w:r w:rsidRPr="00942968">
        <w:rPr>
          <w:color w:val="000000" w:themeColor="text1"/>
        </w:rPr>
        <w:t xml:space="preserve"> up to today. From the history and evolution of accounting, the gradual development of accounting </w:t>
      </w:r>
      <w:r w:rsidR="00792CC4">
        <w:rPr>
          <w:color w:val="000000" w:themeColor="text1"/>
        </w:rPr>
        <w:t>up to</w:t>
      </w:r>
      <w:r w:rsidRPr="00942968">
        <w:rPr>
          <w:color w:val="000000" w:themeColor="text1"/>
        </w:rPr>
        <w:t xml:space="preserve"> </w:t>
      </w:r>
      <w:r w:rsidR="00E51F6E">
        <w:rPr>
          <w:color w:val="000000" w:themeColor="text1"/>
        </w:rPr>
        <w:t xml:space="preserve">the </w:t>
      </w:r>
      <w:r w:rsidRPr="00942968">
        <w:rPr>
          <w:color w:val="000000" w:themeColor="text1"/>
        </w:rPr>
        <w:t>modern era can be categorized into four stages</w:t>
      </w:r>
      <w:r w:rsidR="00E51F6E">
        <w:rPr>
          <w:color w:val="000000" w:themeColor="text1"/>
        </w:rPr>
        <w:t>—advanced</w:t>
      </w:r>
      <w:r w:rsidRPr="00942968">
        <w:rPr>
          <w:color w:val="000000" w:themeColor="text1"/>
        </w:rPr>
        <w:t xml:space="preserve"> accounting</w:t>
      </w:r>
      <w:r w:rsidR="00E51F6E">
        <w:rPr>
          <w:color w:val="000000" w:themeColor="text1"/>
        </w:rPr>
        <w:t>,</w:t>
      </w:r>
      <w:r w:rsidRPr="00942968">
        <w:rPr>
          <w:color w:val="000000" w:themeColor="text1"/>
        </w:rPr>
        <w:t xml:space="preserve"> which is seen </w:t>
      </w:r>
      <w:r w:rsidR="007B7D1C" w:rsidRPr="00942968">
        <w:rPr>
          <w:color w:val="000000" w:themeColor="text1"/>
        </w:rPr>
        <w:t xml:space="preserve">today developed over many years. The first stage is the </w:t>
      </w:r>
      <w:r w:rsidR="00E51F6E">
        <w:rPr>
          <w:color w:val="000000" w:themeColor="text1"/>
        </w:rPr>
        <w:t>new</w:t>
      </w:r>
      <w:r w:rsidR="007B7D1C" w:rsidRPr="00942968">
        <w:rPr>
          <w:color w:val="000000" w:themeColor="text1"/>
        </w:rPr>
        <w:t xml:space="preserve"> stage</w:t>
      </w:r>
      <w:r w:rsidR="00E51F6E">
        <w:rPr>
          <w:color w:val="000000" w:themeColor="text1"/>
        </w:rPr>
        <w:t>,</w:t>
      </w:r>
      <w:r w:rsidR="007B7D1C" w:rsidRPr="00942968">
        <w:rPr>
          <w:color w:val="000000" w:themeColor="text1"/>
        </w:rPr>
        <w:t xml:space="preserve"> which occurred from the time of human development up to 1494</w:t>
      </w:r>
      <w:r w:rsidR="00942968" w:rsidRPr="00942968">
        <w:rPr>
          <w:color w:val="000000" w:themeColor="text1"/>
        </w:rPr>
        <w:t xml:space="preserve"> (</w:t>
      </w:r>
      <w:r w:rsidR="00942968" w:rsidRPr="00942968">
        <w:rPr>
          <w:color w:val="000000" w:themeColor="text1"/>
          <w:shd w:val="clear" w:color="auto" w:fill="FFFFFF"/>
        </w:rPr>
        <w:t>Ienciu, 2013)</w:t>
      </w:r>
      <w:r w:rsidR="007B7D1C" w:rsidRPr="00942968">
        <w:rPr>
          <w:color w:val="000000" w:themeColor="text1"/>
        </w:rPr>
        <w:t>. At this stage, accounting started following the exchange of goods as people felt that accounting was necessary. At that time</w:t>
      </w:r>
      <w:r w:rsidR="00E51F6E">
        <w:rPr>
          <w:color w:val="000000" w:themeColor="text1"/>
        </w:rPr>
        <w:t>,</w:t>
      </w:r>
      <w:r w:rsidR="007B7D1C" w:rsidRPr="00942968">
        <w:rPr>
          <w:color w:val="000000" w:themeColor="text1"/>
        </w:rPr>
        <w:t xml:space="preserve"> people used to keep account of their </w:t>
      </w:r>
      <w:r w:rsidR="00E51F6E">
        <w:rPr>
          <w:color w:val="000000" w:themeColor="text1"/>
        </w:rPr>
        <w:t>product</w:t>
      </w:r>
      <w:r w:rsidR="007B7D1C" w:rsidRPr="00942968">
        <w:rPr>
          <w:color w:val="000000" w:themeColor="text1"/>
        </w:rPr>
        <w:t>s, animals</w:t>
      </w:r>
      <w:r w:rsidR="00E51F6E">
        <w:rPr>
          <w:color w:val="000000" w:themeColor="text1"/>
        </w:rPr>
        <w:t>,</w:t>
      </w:r>
      <w:r w:rsidR="007B7D1C" w:rsidRPr="00942968">
        <w:rPr>
          <w:color w:val="000000" w:themeColor="text1"/>
        </w:rPr>
        <w:t xml:space="preserve"> and fruits through the use of symbols. The development of barter trade led to the feeling of the necessity to have </w:t>
      </w:r>
      <w:r w:rsidR="00E51F6E">
        <w:rPr>
          <w:color w:val="000000" w:themeColor="text1"/>
        </w:rPr>
        <w:t xml:space="preserve">an </w:t>
      </w:r>
      <w:r w:rsidR="007B7D1C" w:rsidRPr="00942968">
        <w:rPr>
          <w:color w:val="000000" w:themeColor="text1"/>
        </w:rPr>
        <w:t>account of goods and services that were being exchanged. At this stage, the use of money sta</w:t>
      </w:r>
      <w:r w:rsidR="00011083" w:rsidRPr="00942968">
        <w:rPr>
          <w:color w:val="000000" w:themeColor="text1"/>
        </w:rPr>
        <w:t xml:space="preserve">rted </w:t>
      </w:r>
      <w:r w:rsidR="007B7D1C" w:rsidRPr="00942968">
        <w:rPr>
          <w:color w:val="000000" w:themeColor="text1"/>
        </w:rPr>
        <w:t xml:space="preserve">following the </w:t>
      </w:r>
      <w:r w:rsidR="007B7D1C" w:rsidRPr="00942968">
        <w:rPr>
          <w:color w:val="000000" w:themeColor="text1"/>
        </w:rPr>
        <w:lastRenderedPageBreak/>
        <w:t>development of trade, industry</w:t>
      </w:r>
      <w:r w:rsidR="00E51F6E">
        <w:rPr>
          <w:color w:val="000000" w:themeColor="text1"/>
        </w:rPr>
        <w:t>,</w:t>
      </w:r>
      <w:r w:rsidR="007B7D1C" w:rsidRPr="00942968">
        <w:rPr>
          <w:color w:val="000000" w:themeColor="text1"/>
        </w:rPr>
        <w:t xml:space="preserve"> and agriculture.</w:t>
      </w:r>
      <w:r w:rsidR="00011083" w:rsidRPr="00942968">
        <w:rPr>
          <w:color w:val="000000" w:themeColor="text1"/>
        </w:rPr>
        <w:t xml:space="preserve"> The use of supervision in accounting developed at this stage.</w:t>
      </w:r>
    </w:p>
    <w:p w:rsidR="00213DC1" w:rsidRDefault="00D740F1" w:rsidP="00C90321">
      <w:pPr>
        <w:pStyle w:val="NormalWeb"/>
        <w:shd w:val="clear" w:color="auto" w:fill="FFFFFF"/>
        <w:spacing w:before="0" w:beforeAutospacing="0" w:after="0" w:afterAutospacing="0" w:line="480" w:lineRule="auto"/>
        <w:ind w:firstLine="720"/>
        <w:textAlignment w:val="baseline"/>
        <w:rPr>
          <w:color w:val="000000" w:themeColor="text1"/>
        </w:rPr>
      </w:pPr>
      <w:r w:rsidRPr="00942968">
        <w:rPr>
          <w:color w:val="000000" w:themeColor="text1"/>
        </w:rPr>
        <w:t xml:space="preserve"> The pre-analytic is the second stage where the rules related to the credit and debit system developed. The book that was written by Loca Pacioli</w:t>
      </w:r>
      <w:r w:rsidR="00E51F6E">
        <w:rPr>
          <w:color w:val="000000" w:themeColor="text1"/>
        </w:rPr>
        <w:t>,</w:t>
      </w:r>
      <w:r w:rsidR="007B7D1C" w:rsidRPr="00942968">
        <w:rPr>
          <w:color w:val="000000" w:themeColor="text1"/>
        </w:rPr>
        <w:t xml:space="preserve"> </w:t>
      </w:r>
      <w:r w:rsidRPr="00942968">
        <w:rPr>
          <w:color w:val="000000" w:themeColor="text1"/>
        </w:rPr>
        <w:t xml:space="preserve">known as </w:t>
      </w:r>
      <w:r w:rsidR="00E51F6E">
        <w:rPr>
          <w:color w:val="000000" w:themeColor="text1"/>
        </w:rPr>
        <w:t>"</w:t>
      </w:r>
      <w:r w:rsidRPr="00942968">
        <w:rPr>
          <w:color w:val="000000" w:themeColor="text1"/>
        </w:rPr>
        <w:t>Accounting</w:t>
      </w:r>
      <w:r w:rsidR="00E51F6E">
        <w:rPr>
          <w:color w:val="000000" w:themeColor="text1"/>
        </w:rPr>
        <w:t>,"</w:t>
      </w:r>
      <w:r w:rsidRPr="00942968">
        <w:rPr>
          <w:color w:val="000000" w:themeColor="text1"/>
        </w:rPr>
        <w:t xml:space="preserve"> was reprinted. The </w:t>
      </w:r>
      <w:r w:rsidR="009F5520">
        <w:rPr>
          <w:color w:val="000000" w:themeColor="text1"/>
        </w:rPr>
        <w:t>manuscript</w:t>
      </w:r>
      <w:r w:rsidRPr="00942968">
        <w:rPr>
          <w:color w:val="000000" w:themeColor="text1"/>
        </w:rPr>
        <w:t xml:space="preserve"> explained the trial balance, ledger, journal preparation, credit</w:t>
      </w:r>
      <w:r w:rsidR="00E51F6E">
        <w:rPr>
          <w:color w:val="000000" w:themeColor="text1"/>
        </w:rPr>
        <w:t>,</w:t>
      </w:r>
      <w:r w:rsidRPr="00942968">
        <w:rPr>
          <w:color w:val="000000" w:themeColor="text1"/>
        </w:rPr>
        <w:t xml:space="preserve"> and debit. This period was </w:t>
      </w:r>
      <w:r w:rsidR="00E51F6E">
        <w:rPr>
          <w:color w:val="000000" w:themeColor="text1"/>
        </w:rPr>
        <w:t>signific</w:t>
      </w:r>
      <w:r w:rsidRPr="00942968">
        <w:rPr>
          <w:color w:val="000000" w:themeColor="text1"/>
        </w:rPr>
        <w:t>ant in creating changes in the accounting field. In this era, different ideas such as personal account</w:t>
      </w:r>
      <w:r w:rsidR="00E51F6E">
        <w:rPr>
          <w:color w:val="000000" w:themeColor="text1"/>
        </w:rPr>
        <w:t>s</w:t>
      </w:r>
      <w:r w:rsidRPr="00942968">
        <w:rPr>
          <w:color w:val="000000" w:themeColor="text1"/>
        </w:rPr>
        <w:t>, creditor</w:t>
      </w:r>
      <w:r w:rsidR="00E51F6E">
        <w:rPr>
          <w:color w:val="000000" w:themeColor="text1"/>
        </w:rPr>
        <w:t>s,</w:t>
      </w:r>
      <w:r w:rsidRPr="00942968">
        <w:rPr>
          <w:color w:val="000000" w:themeColor="text1"/>
        </w:rPr>
        <w:t xml:space="preserve"> and debtor</w:t>
      </w:r>
      <w:r w:rsidR="00E51F6E">
        <w:rPr>
          <w:color w:val="000000" w:themeColor="text1"/>
        </w:rPr>
        <w:t>s</w:t>
      </w:r>
      <w:r w:rsidRPr="00942968">
        <w:rPr>
          <w:color w:val="000000" w:themeColor="text1"/>
        </w:rPr>
        <w:t xml:space="preserve"> were understood. In this stage</w:t>
      </w:r>
      <w:r w:rsidR="00E51F6E">
        <w:rPr>
          <w:color w:val="000000" w:themeColor="text1"/>
        </w:rPr>
        <w:t>,</w:t>
      </w:r>
      <w:r w:rsidRPr="00942968">
        <w:rPr>
          <w:color w:val="000000" w:themeColor="text1"/>
        </w:rPr>
        <w:t xml:space="preserve"> money was acknowledged as a unit of measurement. After Luca Pacioli, </w:t>
      </w:r>
      <w:r w:rsidR="00E51F6E">
        <w:rPr>
          <w:color w:val="000000" w:themeColor="text1"/>
        </w:rPr>
        <w:t>other European professors</w:t>
      </w:r>
      <w:r w:rsidRPr="00942968">
        <w:rPr>
          <w:color w:val="000000" w:themeColor="text1"/>
        </w:rPr>
        <w:t xml:space="preserve"> enriched the accounting field with their concepts. The third stage is the </w:t>
      </w:r>
      <w:r w:rsidR="00E51F6E">
        <w:rPr>
          <w:color w:val="000000" w:themeColor="text1"/>
        </w:rPr>
        <w:t>critical</w:t>
      </w:r>
      <w:r w:rsidRPr="00942968">
        <w:rPr>
          <w:color w:val="000000" w:themeColor="text1"/>
        </w:rPr>
        <w:t xml:space="preserve"> period from 1800-1950</w:t>
      </w:r>
      <w:r w:rsidR="0059762F" w:rsidRPr="00942968">
        <w:rPr>
          <w:color w:val="000000" w:themeColor="text1"/>
        </w:rPr>
        <w:t xml:space="preserve"> (</w:t>
      </w:r>
      <w:r w:rsidR="0059762F" w:rsidRPr="00942968">
        <w:rPr>
          <w:color w:val="000000" w:themeColor="text1"/>
          <w:shd w:val="clear" w:color="auto" w:fill="FFFFFF"/>
        </w:rPr>
        <w:t>Camfferman &amp; Zeff, 2015)</w:t>
      </w:r>
      <w:r w:rsidRPr="00942968">
        <w:rPr>
          <w:color w:val="000000" w:themeColor="text1"/>
        </w:rPr>
        <w:t xml:space="preserve">. Following the </w:t>
      </w:r>
      <w:r w:rsidR="00C16884" w:rsidRPr="00942968">
        <w:rPr>
          <w:color w:val="000000" w:themeColor="text1"/>
        </w:rPr>
        <w:t>industrial revolution and joint</w:t>
      </w:r>
      <w:r w:rsidR="00E51F6E">
        <w:rPr>
          <w:color w:val="000000" w:themeColor="text1"/>
        </w:rPr>
        <w:t>-</w:t>
      </w:r>
      <w:r w:rsidR="00C16884" w:rsidRPr="00942968">
        <w:rPr>
          <w:color w:val="000000" w:themeColor="text1"/>
        </w:rPr>
        <w:t>stock Company, there were a lot of problems that occurred in the accounting field due to increased competition, multi-scale production, large-scale production</w:t>
      </w:r>
      <w:r w:rsidR="00E51F6E">
        <w:rPr>
          <w:color w:val="000000" w:themeColor="text1"/>
        </w:rPr>
        <w:t>,</w:t>
      </w:r>
      <w:r w:rsidR="00C16884" w:rsidRPr="00942968">
        <w:rPr>
          <w:color w:val="000000" w:themeColor="text1"/>
        </w:rPr>
        <w:t xml:space="preserve"> and the increased need </w:t>
      </w:r>
      <w:r w:rsidR="00E51F6E">
        <w:rPr>
          <w:color w:val="000000" w:themeColor="text1"/>
        </w:rPr>
        <w:t>to make</w:t>
      </w:r>
      <w:r w:rsidR="00C16884" w:rsidRPr="00942968">
        <w:rPr>
          <w:color w:val="000000" w:themeColor="text1"/>
        </w:rPr>
        <w:t xml:space="preserve"> profits among the business entities. Accounting analysis was the only solution to this problem. The process of analysis also helped </w:t>
      </w:r>
      <w:r w:rsidR="00E51F6E">
        <w:rPr>
          <w:color w:val="000000" w:themeColor="text1"/>
        </w:rPr>
        <w:t>to account</w:t>
      </w:r>
      <w:r w:rsidR="00C16884" w:rsidRPr="00942968">
        <w:rPr>
          <w:color w:val="000000" w:themeColor="text1"/>
        </w:rPr>
        <w:t xml:space="preserve"> to develop. Many authors came up with different theories that made the accounting sector to be logical.</w:t>
      </w:r>
    </w:p>
    <w:p w:rsidR="00EE709A" w:rsidRPr="00942968" w:rsidRDefault="00D740F1" w:rsidP="00C90321">
      <w:pPr>
        <w:pStyle w:val="NormalWeb"/>
        <w:shd w:val="clear" w:color="auto" w:fill="FFFFFF"/>
        <w:spacing w:before="0" w:beforeAutospacing="0" w:after="0" w:afterAutospacing="0" w:line="480" w:lineRule="auto"/>
        <w:ind w:firstLine="720"/>
        <w:textAlignment w:val="baseline"/>
        <w:rPr>
          <w:color w:val="000000" w:themeColor="text1"/>
        </w:rPr>
      </w:pPr>
      <w:r w:rsidRPr="00942968">
        <w:rPr>
          <w:color w:val="000000" w:themeColor="text1"/>
        </w:rPr>
        <w:t xml:space="preserve"> During the </w:t>
      </w:r>
      <w:r w:rsidR="00C90321">
        <w:rPr>
          <w:color w:val="000000" w:themeColor="text1"/>
        </w:rPr>
        <w:t>Industrial R</w:t>
      </w:r>
      <w:r w:rsidRPr="00942968">
        <w:rPr>
          <w:color w:val="000000" w:themeColor="text1"/>
        </w:rPr>
        <w:t xml:space="preserve">evolution, there was </w:t>
      </w:r>
      <w:r w:rsidR="00E51F6E">
        <w:rPr>
          <w:color w:val="000000" w:themeColor="text1"/>
        </w:rPr>
        <w:t xml:space="preserve">a </w:t>
      </w:r>
      <w:r w:rsidRPr="00942968">
        <w:rPr>
          <w:color w:val="000000" w:themeColor="text1"/>
        </w:rPr>
        <w:t xml:space="preserve">need for a large quantity of capital to start industries. The concept of cost-accounting and depreciation developed following the need for long term business solutions. The modern period is the period that occurred from 1950 to date. The </w:t>
      </w:r>
      <w:r w:rsidR="00A834E4" w:rsidRPr="00942968">
        <w:rPr>
          <w:color w:val="000000" w:themeColor="text1"/>
        </w:rPr>
        <w:t>Second World War</w:t>
      </w:r>
      <w:r w:rsidRPr="00942968">
        <w:rPr>
          <w:color w:val="000000" w:themeColor="text1"/>
        </w:rPr>
        <w:t xml:space="preserve"> led to a change in the production system following the development of technology and science</w:t>
      </w:r>
      <w:r w:rsidR="00C90321" w:rsidRPr="00942968">
        <w:rPr>
          <w:color w:val="000000" w:themeColor="text1"/>
        </w:rPr>
        <w:t xml:space="preserve"> (</w:t>
      </w:r>
      <w:r w:rsidR="00C90321" w:rsidRPr="00942968">
        <w:rPr>
          <w:color w:val="000000" w:themeColor="text1"/>
          <w:shd w:val="clear" w:color="auto" w:fill="FFFFFF"/>
        </w:rPr>
        <w:t>Ienciu, 2013</w:t>
      </w:r>
      <w:r w:rsidR="00C90321">
        <w:rPr>
          <w:color w:val="000000" w:themeColor="text1"/>
          <w:shd w:val="clear" w:color="auto" w:fill="FFFFFF"/>
        </w:rPr>
        <w:t>)</w:t>
      </w:r>
      <w:r w:rsidRPr="00942968">
        <w:rPr>
          <w:color w:val="000000" w:themeColor="text1"/>
        </w:rPr>
        <w:t xml:space="preserve">. </w:t>
      </w:r>
      <w:r w:rsidR="00EE1C52" w:rsidRPr="00942968">
        <w:rPr>
          <w:color w:val="000000" w:themeColor="text1"/>
        </w:rPr>
        <w:t xml:space="preserve">The advancement in the business and industry affected the social and economic life significantly. The traditional system of accounting could only deliver information to directors and owners on various decisions concerning money. The </w:t>
      </w:r>
      <w:r w:rsidR="00E51F6E">
        <w:rPr>
          <w:color w:val="000000" w:themeColor="text1"/>
        </w:rPr>
        <w:t>conven</w:t>
      </w:r>
      <w:r w:rsidR="00EE1C52" w:rsidRPr="00942968">
        <w:rPr>
          <w:color w:val="000000" w:themeColor="text1"/>
        </w:rPr>
        <w:t xml:space="preserve">tional method failed to satisfy </w:t>
      </w:r>
      <w:r w:rsidR="00E51F6E">
        <w:rPr>
          <w:color w:val="000000" w:themeColor="text1"/>
        </w:rPr>
        <w:t>multiple</w:t>
      </w:r>
      <w:r w:rsidR="00EE1C52" w:rsidRPr="00942968">
        <w:rPr>
          <w:color w:val="000000" w:themeColor="text1"/>
        </w:rPr>
        <w:t xml:space="preserve"> interested individuals in the community</w:t>
      </w:r>
      <w:r w:rsidR="00942968" w:rsidRPr="00942968">
        <w:rPr>
          <w:color w:val="000000" w:themeColor="text1"/>
        </w:rPr>
        <w:t xml:space="preserve"> (</w:t>
      </w:r>
      <w:r w:rsidR="00942968" w:rsidRPr="00942968">
        <w:rPr>
          <w:color w:val="000000" w:themeColor="text1"/>
          <w:shd w:val="clear" w:color="auto" w:fill="FFFFFF"/>
        </w:rPr>
        <w:t xml:space="preserve">Ienciu, </w:t>
      </w:r>
      <w:r w:rsidR="00942968" w:rsidRPr="00942968">
        <w:rPr>
          <w:color w:val="000000" w:themeColor="text1"/>
          <w:shd w:val="clear" w:color="auto" w:fill="FFFFFF"/>
        </w:rPr>
        <w:lastRenderedPageBreak/>
        <w:t>2013)</w:t>
      </w:r>
      <w:r w:rsidR="00EE1C52" w:rsidRPr="00942968">
        <w:rPr>
          <w:color w:val="000000" w:themeColor="text1"/>
        </w:rPr>
        <w:t xml:space="preserve">. An attempt to change the accounting system was made following the interest of parties in business organizations indirectly or directly. International organizations introduced principles of accounting (GAAP) to enhance the meaningfulness of accounting to both users and processors. The accounting standards were formed on </w:t>
      </w:r>
      <w:r w:rsidR="00E51F6E">
        <w:rPr>
          <w:color w:val="000000" w:themeColor="text1"/>
        </w:rPr>
        <w:t xml:space="preserve">a </w:t>
      </w:r>
      <w:r w:rsidR="00EE1C52" w:rsidRPr="00942968">
        <w:rPr>
          <w:color w:val="000000" w:themeColor="text1"/>
        </w:rPr>
        <w:t xml:space="preserve">national and worldwide level. The board of </w:t>
      </w:r>
      <w:r w:rsidR="00E51F6E">
        <w:rPr>
          <w:color w:val="000000" w:themeColor="text1"/>
        </w:rPr>
        <w:t xml:space="preserve">the </w:t>
      </w:r>
      <w:r w:rsidR="00EE1C52" w:rsidRPr="00942968">
        <w:rPr>
          <w:color w:val="000000" w:themeColor="text1"/>
        </w:rPr>
        <w:t xml:space="preserve">USA and the U.K committee formulated the accounting standards that are used in various countries. Following the technological and social transformations, </w:t>
      </w:r>
      <w:r w:rsidR="00E51F6E">
        <w:rPr>
          <w:color w:val="000000" w:themeColor="text1"/>
        </w:rPr>
        <w:t>multiple</w:t>
      </w:r>
      <w:r w:rsidR="00EE1C52" w:rsidRPr="00942968">
        <w:rPr>
          <w:color w:val="000000" w:themeColor="text1"/>
        </w:rPr>
        <w:t xml:space="preserve"> branches of accounting have developed</w:t>
      </w:r>
      <w:r w:rsidR="00E51F6E">
        <w:rPr>
          <w:color w:val="000000" w:themeColor="text1"/>
        </w:rPr>
        <w:t>,</w:t>
      </w:r>
      <w:r w:rsidR="00EE1C52" w:rsidRPr="00942968">
        <w:rPr>
          <w:color w:val="000000" w:themeColor="text1"/>
        </w:rPr>
        <w:t xml:space="preserve"> including Auditing and Mechanized accounting, tax accounting, </w:t>
      </w:r>
      <w:r w:rsidR="00AC7039" w:rsidRPr="00942968">
        <w:rPr>
          <w:color w:val="000000" w:themeColor="text1"/>
        </w:rPr>
        <w:t xml:space="preserve">Inflation accounting, human resource accounting, government accounting, national accounting, and responsibility accounting. </w:t>
      </w:r>
    </w:p>
    <w:p w:rsidR="00AC7039" w:rsidRPr="00942968" w:rsidRDefault="00D740F1" w:rsidP="00C90321">
      <w:pPr>
        <w:pStyle w:val="NormalWeb"/>
        <w:shd w:val="clear" w:color="auto" w:fill="FFFFFF"/>
        <w:spacing w:before="0" w:beforeAutospacing="0" w:after="0" w:afterAutospacing="0" w:line="480" w:lineRule="auto"/>
        <w:ind w:firstLine="720"/>
        <w:textAlignment w:val="baseline"/>
        <w:rPr>
          <w:color w:val="000000" w:themeColor="text1"/>
        </w:rPr>
      </w:pPr>
      <w:r w:rsidRPr="00942968">
        <w:rPr>
          <w:color w:val="000000" w:themeColor="text1"/>
        </w:rPr>
        <w:t xml:space="preserve">The </w:t>
      </w:r>
      <w:r w:rsidR="00E51F6E">
        <w:rPr>
          <w:color w:val="000000" w:themeColor="text1"/>
        </w:rPr>
        <w:t>significant</w:t>
      </w:r>
      <w:r w:rsidRPr="00942968">
        <w:rPr>
          <w:color w:val="000000" w:themeColor="text1"/>
        </w:rPr>
        <w:t xml:space="preserve"> discrepancy between IFRS and GAAP is that IFRS is based on principles</w:t>
      </w:r>
      <w:r w:rsidR="00E51F6E">
        <w:rPr>
          <w:color w:val="000000" w:themeColor="text1"/>
        </w:rPr>
        <w:t>,</w:t>
      </w:r>
      <w:r w:rsidRPr="00942968">
        <w:rPr>
          <w:color w:val="000000" w:themeColor="text1"/>
        </w:rPr>
        <w:t xml:space="preserve"> while GAAP is based on rules. The principle</w:t>
      </w:r>
      <w:r w:rsidR="00E51F6E">
        <w:rPr>
          <w:color w:val="000000" w:themeColor="text1"/>
        </w:rPr>
        <w:t>-</w:t>
      </w:r>
      <w:r w:rsidRPr="00942968">
        <w:rPr>
          <w:color w:val="000000" w:themeColor="text1"/>
        </w:rPr>
        <w:t xml:space="preserve">based model provides various interpretations of </w:t>
      </w:r>
      <w:r w:rsidR="00E51F6E">
        <w:rPr>
          <w:color w:val="000000" w:themeColor="text1"/>
        </w:rPr>
        <w:t xml:space="preserve">the </w:t>
      </w:r>
      <w:r w:rsidRPr="00942968">
        <w:rPr>
          <w:color w:val="000000" w:themeColor="text1"/>
        </w:rPr>
        <w:t>same transactions</w:t>
      </w:r>
      <w:r w:rsidR="00E51F6E">
        <w:rPr>
          <w:color w:val="000000" w:themeColor="text1"/>
        </w:rPr>
        <w:t>,</w:t>
      </w:r>
      <w:r w:rsidRPr="00942968">
        <w:rPr>
          <w:color w:val="000000" w:themeColor="text1"/>
        </w:rPr>
        <w:t xml:space="preserve"> which can lead to disclosure in financial statements. The </w:t>
      </w:r>
      <w:r w:rsidR="00E51F6E">
        <w:rPr>
          <w:color w:val="000000" w:themeColor="text1"/>
        </w:rPr>
        <w:t>unclear areas</w:t>
      </w:r>
      <w:r w:rsidRPr="00942968">
        <w:rPr>
          <w:color w:val="000000" w:themeColor="text1"/>
        </w:rPr>
        <w:t xml:space="preserve"> can be clarified in principle</w:t>
      </w:r>
      <w:r w:rsidR="00E51F6E">
        <w:rPr>
          <w:color w:val="000000" w:themeColor="text1"/>
        </w:rPr>
        <w:t>-</w:t>
      </w:r>
      <w:r w:rsidRPr="00942968">
        <w:rPr>
          <w:color w:val="000000" w:themeColor="text1"/>
        </w:rPr>
        <w:t>based</w:t>
      </w:r>
      <w:r w:rsidR="00E51F6E">
        <w:rPr>
          <w:color w:val="000000" w:themeColor="text1"/>
        </w:rPr>
        <w:t>,</w:t>
      </w:r>
      <w:r w:rsidRPr="00942968">
        <w:rPr>
          <w:color w:val="000000" w:themeColor="text1"/>
        </w:rPr>
        <w:t xml:space="preserve"> which results </w:t>
      </w:r>
      <w:r w:rsidR="00E51F6E">
        <w:rPr>
          <w:color w:val="000000" w:themeColor="text1"/>
        </w:rPr>
        <w:t>in</w:t>
      </w:r>
      <w:r w:rsidRPr="00942968">
        <w:rPr>
          <w:color w:val="000000" w:themeColor="text1"/>
        </w:rPr>
        <w:t xml:space="preserve"> minimal expectations that the rule</w:t>
      </w:r>
      <w:r w:rsidR="00E51F6E">
        <w:rPr>
          <w:color w:val="000000" w:themeColor="text1"/>
        </w:rPr>
        <w:t>-</w:t>
      </w:r>
      <w:r w:rsidRPr="00942968">
        <w:rPr>
          <w:color w:val="000000" w:themeColor="text1"/>
        </w:rPr>
        <w:t>based framework</w:t>
      </w:r>
      <w:r w:rsidR="00942968" w:rsidRPr="00942968">
        <w:rPr>
          <w:color w:val="000000" w:themeColor="text1"/>
        </w:rPr>
        <w:t xml:space="preserve"> (</w:t>
      </w:r>
      <w:r w:rsidR="00942968" w:rsidRPr="00942968">
        <w:rPr>
          <w:color w:val="000000" w:themeColor="text1"/>
          <w:shd w:val="clear" w:color="auto" w:fill="FFFFFF"/>
        </w:rPr>
        <w:t>Gaydarzhyys'ka, Zaderaka &amp; Titarenko, 2018)</w:t>
      </w:r>
      <w:r w:rsidRPr="00942968">
        <w:rPr>
          <w:color w:val="000000" w:themeColor="text1"/>
        </w:rPr>
        <w:t xml:space="preserve">. In GAAP, there is </w:t>
      </w:r>
      <w:r w:rsidR="00E51F6E">
        <w:rPr>
          <w:color w:val="000000" w:themeColor="text1"/>
        </w:rPr>
        <w:t xml:space="preserve">a </w:t>
      </w:r>
      <w:r w:rsidRPr="00942968">
        <w:rPr>
          <w:color w:val="000000" w:themeColor="text1"/>
        </w:rPr>
        <w:t>focus on literature more in research</w:t>
      </w:r>
      <w:r w:rsidR="00E51F6E">
        <w:rPr>
          <w:color w:val="000000" w:themeColor="text1"/>
        </w:rPr>
        <w:t>,</w:t>
      </w:r>
      <w:r w:rsidRPr="00942968">
        <w:rPr>
          <w:color w:val="000000" w:themeColor="text1"/>
        </w:rPr>
        <w:t xml:space="preserve"> while in IFRS</w:t>
      </w:r>
      <w:r w:rsidR="00E51F6E">
        <w:rPr>
          <w:color w:val="000000" w:themeColor="text1"/>
        </w:rPr>
        <w:t>,</w:t>
      </w:r>
      <w:r w:rsidRPr="00942968">
        <w:rPr>
          <w:color w:val="000000" w:themeColor="text1"/>
        </w:rPr>
        <w:t xml:space="preserve"> the </w:t>
      </w:r>
      <w:r w:rsidR="00E51F6E">
        <w:rPr>
          <w:color w:val="000000" w:themeColor="text1"/>
        </w:rPr>
        <w:t>emphasi</w:t>
      </w:r>
      <w:r w:rsidRPr="00942968">
        <w:rPr>
          <w:color w:val="000000" w:themeColor="text1"/>
        </w:rPr>
        <w:t xml:space="preserve">s in research is the review of the pattern of information. </w:t>
      </w:r>
      <w:r w:rsidR="0059762F" w:rsidRPr="00942968">
        <w:rPr>
          <w:color w:val="000000" w:themeColor="text1"/>
        </w:rPr>
        <w:t xml:space="preserve">IFR favors </w:t>
      </w:r>
      <w:r w:rsidR="00E51F6E">
        <w:rPr>
          <w:color w:val="000000" w:themeColor="text1"/>
        </w:rPr>
        <w:t xml:space="preserve">the </w:t>
      </w:r>
      <w:r w:rsidR="0059762F" w:rsidRPr="00942968">
        <w:rPr>
          <w:color w:val="000000" w:themeColor="text1"/>
        </w:rPr>
        <w:t>control approach</w:t>
      </w:r>
      <w:r w:rsidR="00E51F6E">
        <w:rPr>
          <w:color w:val="000000" w:themeColor="text1"/>
        </w:rPr>
        <w:t>,</w:t>
      </w:r>
      <w:r w:rsidR="0059762F" w:rsidRPr="00942968">
        <w:rPr>
          <w:color w:val="000000" w:themeColor="text1"/>
        </w:rPr>
        <w:t xml:space="preserve"> whereas the GAAP is based on the preference of rewards and risks. In the GAAP, the extraordinary objects are listen</w:t>
      </w:r>
      <w:r w:rsidR="00E51F6E">
        <w:rPr>
          <w:color w:val="000000" w:themeColor="text1"/>
        </w:rPr>
        <w:t>ing</w:t>
      </w:r>
      <w:r w:rsidR="0059762F" w:rsidRPr="00942968">
        <w:rPr>
          <w:color w:val="000000" w:themeColor="text1"/>
        </w:rPr>
        <w:t xml:space="preserve"> under the net income</w:t>
      </w:r>
      <w:r w:rsidR="00E51F6E">
        <w:rPr>
          <w:color w:val="000000" w:themeColor="text1"/>
        </w:rPr>
        <w:t>,</w:t>
      </w:r>
      <w:r w:rsidR="0059762F" w:rsidRPr="00942968">
        <w:rPr>
          <w:color w:val="000000" w:themeColor="text1"/>
        </w:rPr>
        <w:t xml:space="preserve"> while in </w:t>
      </w:r>
      <w:r w:rsidR="00C90321" w:rsidRPr="00942968">
        <w:rPr>
          <w:color w:val="000000" w:themeColor="text1"/>
        </w:rPr>
        <w:t>IFRS;</w:t>
      </w:r>
      <w:r w:rsidR="0059762F" w:rsidRPr="00942968">
        <w:rPr>
          <w:color w:val="000000" w:themeColor="text1"/>
        </w:rPr>
        <w:t xml:space="preserve"> the objects are not separated in the statement.</w:t>
      </w:r>
    </w:p>
    <w:p w:rsidR="00471E13" w:rsidRPr="00942968" w:rsidRDefault="00471E13" w:rsidP="00C90321">
      <w:pPr>
        <w:spacing w:after="0" w:line="480" w:lineRule="auto"/>
        <w:ind w:firstLine="720"/>
        <w:rPr>
          <w:rFonts w:ascii="Times New Roman" w:hAnsi="Times New Roman" w:cs="Times New Roman"/>
          <w:color w:val="000000" w:themeColor="text1"/>
          <w:sz w:val="24"/>
          <w:szCs w:val="24"/>
        </w:rPr>
      </w:pPr>
    </w:p>
    <w:p w:rsidR="0059762F" w:rsidRPr="00942968" w:rsidRDefault="0059762F" w:rsidP="00C90321">
      <w:pPr>
        <w:spacing w:after="0" w:line="480" w:lineRule="auto"/>
        <w:ind w:firstLine="720"/>
        <w:rPr>
          <w:rFonts w:ascii="Times New Roman" w:hAnsi="Times New Roman" w:cs="Times New Roman"/>
          <w:color w:val="000000" w:themeColor="text1"/>
          <w:sz w:val="24"/>
          <w:szCs w:val="24"/>
        </w:rPr>
      </w:pPr>
    </w:p>
    <w:p w:rsidR="0059762F" w:rsidRPr="00942968" w:rsidRDefault="0059762F" w:rsidP="00C90321">
      <w:pPr>
        <w:spacing w:after="0" w:line="480" w:lineRule="auto"/>
        <w:ind w:firstLine="720"/>
        <w:rPr>
          <w:rFonts w:ascii="Times New Roman" w:hAnsi="Times New Roman" w:cs="Times New Roman"/>
          <w:color w:val="000000" w:themeColor="text1"/>
          <w:sz w:val="24"/>
          <w:szCs w:val="24"/>
        </w:rPr>
      </w:pPr>
    </w:p>
    <w:p w:rsidR="0059762F" w:rsidRPr="00942968" w:rsidRDefault="0059762F" w:rsidP="00C90321">
      <w:pPr>
        <w:spacing w:after="0" w:line="480" w:lineRule="auto"/>
        <w:ind w:firstLine="720"/>
        <w:rPr>
          <w:rFonts w:ascii="Times New Roman" w:hAnsi="Times New Roman" w:cs="Times New Roman"/>
          <w:color w:val="000000" w:themeColor="text1"/>
          <w:sz w:val="24"/>
          <w:szCs w:val="24"/>
        </w:rPr>
      </w:pPr>
    </w:p>
    <w:p w:rsidR="00E51F6E" w:rsidRPr="00942968" w:rsidRDefault="00E51F6E" w:rsidP="00C90321">
      <w:pPr>
        <w:spacing w:after="0" w:line="480" w:lineRule="auto"/>
        <w:rPr>
          <w:rFonts w:ascii="Times New Roman" w:hAnsi="Times New Roman" w:cs="Times New Roman"/>
          <w:color w:val="000000" w:themeColor="text1"/>
          <w:sz w:val="24"/>
          <w:szCs w:val="24"/>
        </w:rPr>
      </w:pPr>
    </w:p>
    <w:p w:rsidR="0059762F" w:rsidRPr="00942968" w:rsidRDefault="00D740F1" w:rsidP="00C90321">
      <w:pPr>
        <w:spacing w:after="0" w:line="480" w:lineRule="auto"/>
        <w:ind w:firstLine="720"/>
        <w:jc w:val="center"/>
        <w:rPr>
          <w:rFonts w:ascii="Times New Roman" w:hAnsi="Times New Roman" w:cs="Times New Roman"/>
          <w:color w:val="000000" w:themeColor="text1"/>
          <w:sz w:val="24"/>
          <w:szCs w:val="24"/>
        </w:rPr>
      </w:pPr>
      <w:r w:rsidRPr="00942968">
        <w:rPr>
          <w:rFonts w:ascii="Times New Roman" w:hAnsi="Times New Roman" w:cs="Times New Roman"/>
          <w:color w:val="000000" w:themeColor="text1"/>
          <w:sz w:val="24"/>
          <w:szCs w:val="24"/>
        </w:rPr>
        <w:lastRenderedPageBreak/>
        <w:t>References</w:t>
      </w:r>
    </w:p>
    <w:p w:rsidR="00942968" w:rsidRPr="00942968" w:rsidRDefault="00D740F1" w:rsidP="00C90321">
      <w:pPr>
        <w:spacing w:after="0" w:line="480" w:lineRule="auto"/>
        <w:ind w:left="720" w:hanging="720"/>
        <w:rPr>
          <w:rFonts w:ascii="Times New Roman" w:hAnsi="Times New Roman" w:cs="Times New Roman"/>
          <w:color w:val="000000" w:themeColor="text1"/>
          <w:sz w:val="24"/>
          <w:szCs w:val="24"/>
          <w:shd w:val="clear" w:color="auto" w:fill="FFFFFF"/>
        </w:rPr>
      </w:pPr>
      <w:r w:rsidRPr="00942968">
        <w:rPr>
          <w:rFonts w:ascii="Times New Roman" w:hAnsi="Times New Roman" w:cs="Times New Roman"/>
          <w:color w:val="000000" w:themeColor="text1"/>
          <w:sz w:val="24"/>
          <w:szCs w:val="24"/>
          <w:shd w:val="clear" w:color="auto" w:fill="FFFFFF"/>
        </w:rPr>
        <w:t>Camfferman, K., &amp; Zeff, S. (2015). </w:t>
      </w:r>
      <w:r w:rsidRPr="00942968">
        <w:rPr>
          <w:rFonts w:ascii="Times New Roman" w:hAnsi="Times New Roman" w:cs="Times New Roman"/>
          <w:i/>
          <w:iCs/>
          <w:color w:val="000000" w:themeColor="text1"/>
          <w:sz w:val="24"/>
          <w:szCs w:val="24"/>
          <w:shd w:val="clear" w:color="auto" w:fill="FFFFFF"/>
        </w:rPr>
        <w:t>Aiming for global accounting standards</w:t>
      </w:r>
      <w:r w:rsidRPr="00942968">
        <w:rPr>
          <w:rFonts w:ascii="Times New Roman" w:hAnsi="Times New Roman" w:cs="Times New Roman"/>
          <w:color w:val="000000" w:themeColor="text1"/>
          <w:sz w:val="24"/>
          <w:szCs w:val="24"/>
          <w:shd w:val="clear" w:color="auto" w:fill="FFFFFF"/>
        </w:rPr>
        <w:t>.</w:t>
      </w:r>
    </w:p>
    <w:p w:rsidR="00942968" w:rsidRPr="00942968" w:rsidRDefault="00D740F1" w:rsidP="00C90321">
      <w:pPr>
        <w:spacing w:after="0" w:line="480" w:lineRule="auto"/>
        <w:ind w:left="720" w:hanging="720"/>
        <w:rPr>
          <w:rFonts w:ascii="Times New Roman" w:hAnsi="Times New Roman" w:cs="Times New Roman"/>
          <w:color w:val="000000" w:themeColor="text1"/>
          <w:sz w:val="24"/>
          <w:szCs w:val="24"/>
        </w:rPr>
      </w:pPr>
      <w:r w:rsidRPr="00942968">
        <w:rPr>
          <w:rFonts w:ascii="Times New Roman" w:hAnsi="Times New Roman" w:cs="Times New Roman"/>
          <w:color w:val="000000" w:themeColor="text1"/>
          <w:sz w:val="24"/>
          <w:szCs w:val="24"/>
          <w:shd w:val="clear" w:color="auto" w:fill="FFFFFF"/>
        </w:rPr>
        <w:t>Gaydarzhyys'ka, O., Zaderaka, N., &amp; Titarenko, L. (2018). DIFFERENCES IN ACCOUNTING BETWEEN IFRS AND GAAP. </w:t>
      </w:r>
      <w:r w:rsidRPr="00942968">
        <w:rPr>
          <w:rFonts w:ascii="Times New Roman" w:hAnsi="Times New Roman" w:cs="Times New Roman"/>
          <w:i/>
          <w:iCs/>
          <w:color w:val="000000" w:themeColor="text1"/>
          <w:sz w:val="24"/>
          <w:szCs w:val="24"/>
          <w:shd w:val="clear" w:color="auto" w:fill="FFFFFF"/>
        </w:rPr>
        <w:t>Investytsiyi: Praktyka Ta Dosvid</w:t>
      </w:r>
      <w:r w:rsidRPr="00942968">
        <w:rPr>
          <w:rFonts w:ascii="Times New Roman" w:hAnsi="Times New Roman" w:cs="Times New Roman"/>
          <w:color w:val="000000" w:themeColor="text1"/>
          <w:sz w:val="24"/>
          <w:szCs w:val="24"/>
          <w:shd w:val="clear" w:color="auto" w:fill="FFFFFF"/>
        </w:rPr>
        <w:t xml:space="preserve">, (20), 29. </w:t>
      </w:r>
      <w:r w:rsidR="00E51F6E">
        <w:rPr>
          <w:rFonts w:ascii="Times New Roman" w:hAnsi="Times New Roman" w:cs="Times New Roman"/>
          <w:color w:val="000000" w:themeColor="text1"/>
          <w:sz w:val="24"/>
          <w:szCs w:val="24"/>
          <w:shd w:val="clear" w:color="auto" w:fill="FFFFFF"/>
        </w:rPr>
        <w:t>DOI</w:t>
      </w:r>
      <w:r w:rsidRPr="00942968">
        <w:rPr>
          <w:rFonts w:ascii="Times New Roman" w:hAnsi="Times New Roman" w:cs="Times New Roman"/>
          <w:color w:val="000000" w:themeColor="text1"/>
          <w:sz w:val="24"/>
          <w:szCs w:val="24"/>
          <w:shd w:val="clear" w:color="auto" w:fill="FFFFFF"/>
        </w:rPr>
        <w:t>: 10.32702/2306-6814.2018.20.29</w:t>
      </w:r>
    </w:p>
    <w:p w:rsidR="00942968" w:rsidRPr="00942968" w:rsidRDefault="00D740F1" w:rsidP="00C90321">
      <w:pPr>
        <w:spacing w:after="0" w:line="480" w:lineRule="auto"/>
        <w:ind w:left="720" w:hanging="720"/>
        <w:rPr>
          <w:rFonts w:ascii="Times New Roman" w:hAnsi="Times New Roman" w:cs="Times New Roman"/>
          <w:color w:val="000000" w:themeColor="text1"/>
          <w:sz w:val="24"/>
          <w:szCs w:val="24"/>
          <w:shd w:val="clear" w:color="auto" w:fill="FFFFFF"/>
        </w:rPr>
      </w:pPr>
      <w:r w:rsidRPr="00942968">
        <w:rPr>
          <w:rFonts w:ascii="Times New Roman" w:hAnsi="Times New Roman" w:cs="Times New Roman"/>
          <w:color w:val="000000" w:themeColor="text1"/>
          <w:sz w:val="24"/>
          <w:szCs w:val="24"/>
          <w:shd w:val="clear" w:color="auto" w:fill="FFFFFF"/>
        </w:rPr>
        <w:t>Ienciu, N. (2013). Changes occurred in the evolution of international accounting standards. </w:t>
      </w:r>
      <w:r w:rsidRPr="00942968">
        <w:rPr>
          <w:rFonts w:ascii="Times New Roman" w:hAnsi="Times New Roman" w:cs="Times New Roman"/>
          <w:i/>
          <w:iCs/>
          <w:color w:val="000000" w:themeColor="text1"/>
          <w:sz w:val="24"/>
          <w:szCs w:val="24"/>
          <w:shd w:val="clear" w:color="auto" w:fill="FFFFFF"/>
        </w:rPr>
        <w:t>International Journal Of Economics And Accounting</w:t>
      </w:r>
      <w:r w:rsidRPr="00942968">
        <w:rPr>
          <w:rFonts w:ascii="Times New Roman" w:hAnsi="Times New Roman" w:cs="Times New Roman"/>
          <w:color w:val="000000" w:themeColor="text1"/>
          <w:sz w:val="24"/>
          <w:szCs w:val="24"/>
          <w:shd w:val="clear" w:color="auto" w:fill="FFFFFF"/>
        </w:rPr>
        <w:t>, </w:t>
      </w:r>
      <w:r w:rsidRPr="00942968">
        <w:rPr>
          <w:rFonts w:ascii="Times New Roman" w:hAnsi="Times New Roman" w:cs="Times New Roman"/>
          <w:i/>
          <w:iCs/>
          <w:color w:val="000000" w:themeColor="text1"/>
          <w:sz w:val="24"/>
          <w:szCs w:val="24"/>
          <w:shd w:val="clear" w:color="auto" w:fill="FFFFFF"/>
        </w:rPr>
        <w:t>4</w:t>
      </w:r>
      <w:r w:rsidRPr="00942968">
        <w:rPr>
          <w:rFonts w:ascii="Times New Roman" w:hAnsi="Times New Roman" w:cs="Times New Roman"/>
          <w:color w:val="000000" w:themeColor="text1"/>
          <w:sz w:val="24"/>
          <w:szCs w:val="24"/>
          <w:shd w:val="clear" w:color="auto" w:fill="FFFFFF"/>
        </w:rPr>
        <w:t xml:space="preserve">(3), 264. </w:t>
      </w:r>
      <w:r w:rsidR="00E51F6E">
        <w:rPr>
          <w:rFonts w:ascii="Times New Roman" w:hAnsi="Times New Roman" w:cs="Times New Roman"/>
          <w:color w:val="000000" w:themeColor="text1"/>
          <w:sz w:val="24"/>
          <w:szCs w:val="24"/>
          <w:shd w:val="clear" w:color="auto" w:fill="FFFFFF"/>
        </w:rPr>
        <w:t>DOI</w:t>
      </w:r>
      <w:r w:rsidRPr="00942968">
        <w:rPr>
          <w:rFonts w:ascii="Times New Roman" w:hAnsi="Times New Roman" w:cs="Times New Roman"/>
          <w:color w:val="000000" w:themeColor="text1"/>
          <w:sz w:val="24"/>
          <w:szCs w:val="24"/>
          <w:shd w:val="clear" w:color="auto" w:fill="FFFFFF"/>
        </w:rPr>
        <w:t>: 10.1504/ijea.2013.055899</w:t>
      </w:r>
    </w:p>
    <w:p w:rsidR="0059762F" w:rsidRPr="00942968" w:rsidRDefault="0059762F" w:rsidP="00C90321">
      <w:pPr>
        <w:spacing w:after="0" w:line="480" w:lineRule="auto"/>
        <w:ind w:firstLine="720"/>
        <w:rPr>
          <w:rFonts w:ascii="Times New Roman" w:hAnsi="Times New Roman" w:cs="Times New Roman"/>
          <w:color w:val="000000" w:themeColor="text1"/>
          <w:sz w:val="24"/>
          <w:szCs w:val="24"/>
        </w:rPr>
      </w:pPr>
    </w:p>
    <w:sectPr w:rsidR="0059762F" w:rsidRPr="00942968" w:rsidSect="009429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D21" w:rsidRDefault="00865D21" w:rsidP="000D1BE3">
      <w:pPr>
        <w:spacing w:after="0" w:line="240" w:lineRule="auto"/>
      </w:pPr>
      <w:r>
        <w:separator/>
      </w:r>
    </w:p>
  </w:endnote>
  <w:endnote w:type="continuationSeparator" w:id="1">
    <w:p w:rsidR="00865D21" w:rsidRDefault="00865D21" w:rsidP="000D1B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D21" w:rsidRDefault="00865D21" w:rsidP="000D1BE3">
      <w:pPr>
        <w:spacing w:after="0" w:line="240" w:lineRule="auto"/>
      </w:pPr>
      <w:r>
        <w:separator/>
      </w:r>
    </w:p>
  </w:footnote>
  <w:footnote w:type="continuationSeparator" w:id="1">
    <w:p w:rsidR="00865D21" w:rsidRDefault="00865D21" w:rsidP="000D1B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68" w:rsidRDefault="00D740F1" w:rsidP="00942968">
    <w:pPr>
      <w:pStyle w:val="Header"/>
    </w:pPr>
    <w:r w:rsidRPr="00942968">
      <w:rPr>
        <w:rFonts w:ascii="Times New Roman" w:hAnsi="Times New Roman" w:cs="Times New Roman"/>
        <w:sz w:val="24"/>
        <w:szCs w:val="24"/>
      </w:rPr>
      <w:t xml:space="preserve">EVOLUTION OF ACCOUNTING </w:t>
    </w:r>
    <w:sdt>
      <w:sdtPr>
        <w:rPr>
          <w:rFonts w:ascii="Times New Roman" w:hAnsi="Times New Roman" w:cs="Times New Roman"/>
          <w:sz w:val="24"/>
          <w:szCs w:val="24"/>
        </w:rPr>
        <w:id w:val="458670795"/>
        <w:docPartObj>
          <w:docPartGallery w:val="Page Numbers (Top of Page)"/>
          <w:docPartUnique/>
        </w:docPartObj>
      </w:sdtPr>
      <w:sdtContent>
        <w:r>
          <w:rPr>
            <w:rFonts w:ascii="Times New Roman" w:hAnsi="Times New Roman" w:cs="Times New Roman"/>
            <w:sz w:val="24"/>
            <w:szCs w:val="24"/>
          </w:rPr>
          <w:t xml:space="preserve">                                                                                           </w:t>
        </w:r>
        <w:r w:rsidR="003B255D" w:rsidRPr="00942968">
          <w:rPr>
            <w:rFonts w:ascii="Times New Roman" w:hAnsi="Times New Roman" w:cs="Times New Roman"/>
            <w:sz w:val="24"/>
            <w:szCs w:val="24"/>
          </w:rPr>
          <w:fldChar w:fldCharType="begin"/>
        </w:r>
        <w:r w:rsidRPr="00942968">
          <w:rPr>
            <w:rFonts w:ascii="Times New Roman" w:hAnsi="Times New Roman" w:cs="Times New Roman"/>
            <w:sz w:val="24"/>
            <w:szCs w:val="24"/>
          </w:rPr>
          <w:instrText xml:space="preserve"> PAGE   \* MERGEFORMAT </w:instrText>
        </w:r>
        <w:r w:rsidR="003B255D" w:rsidRPr="00942968">
          <w:rPr>
            <w:rFonts w:ascii="Times New Roman" w:hAnsi="Times New Roman" w:cs="Times New Roman"/>
            <w:sz w:val="24"/>
            <w:szCs w:val="24"/>
          </w:rPr>
          <w:fldChar w:fldCharType="separate"/>
        </w:r>
        <w:r w:rsidR="001E4701">
          <w:rPr>
            <w:rFonts w:ascii="Times New Roman" w:hAnsi="Times New Roman" w:cs="Times New Roman"/>
            <w:noProof/>
            <w:sz w:val="24"/>
            <w:szCs w:val="24"/>
          </w:rPr>
          <w:t>5</w:t>
        </w:r>
        <w:r w:rsidR="003B255D" w:rsidRPr="00942968">
          <w:rPr>
            <w:rFonts w:ascii="Times New Roman" w:hAnsi="Times New Roman" w:cs="Times New Roman"/>
            <w:sz w:val="24"/>
            <w:szCs w:val="24"/>
          </w:rPr>
          <w:fldChar w:fldCharType="end"/>
        </w:r>
      </w:sdtContent>
    </w:sdt>
  </w:p>
  <w:p w:rsidR="00942968" w:rsidRDefault="009429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68" w:rsidRPr="00942968" w:rsidRDefault="00D740F1" w:rsidP="00942968">
    <w:pPr>
      <w:pStyle w:val="Header"/>
      <w:rPr>
        <w:rFonts w:ascii="Times New Roman" w:hAnsi="Times New Roman" w:cs="Times New Roman"/>
        <w:sz w:val="24"/>
        <w:szCs w:val="24"/>
      </w:rPr>
    </w:pPr>
    <w:r w:rsidRPr="00942968">
      <w:rPr>
        <w:rFonts w:ascii="Times New Roman" w:hAnsi="Times New Roman" w:cs="Times New Roman"/>
        <w:sz w:val="24"/>
        <w:szCs w:val="24"/>
      </w:rPr>
      <w:t>Running head: EVOLUTION OF ACCOUNTING</w:t>
    </w:r>
    <w:sdt>
      <w:sdtPr>
        <w:rPr>
          <w:rFonts w:ascii="Times New Roman" w:hAnsi="Times New Roman" w:cs="Times New Roman"/>
          <w:sz w:val="24"/>
          <w:szCs w:val="24"/>
        </w:rPr>
        <w:id w:val="458670751"/>
        <w:docPartObj>
          <w:docPartGallery w:val="Page Numbers (Top of Page)"/>
          <w:docPartUnique/>
        </w:docPartObj>
      </w:sdtPr>
      <w:sdtContent>
        <w:r>
          <w:rPr>
            <w:rFonts w:ascii="Times New Roman" w:hAnsi="Times New Roman" w:cs="Times New Roman"/>
            <w:sz w:val="24"/>
            <w:szCs w:val="24"/>
          </w:rPr>
          <w:t xml:space="preserve">                                                                    </w:t>
        </w:r>
        <w:r w:rsidR="003B255D" w:rsidRPr="00942968">
          <w:rPr>
            <w:rFonts w:ascii="Times New Roman" w:hAnsi="Times New Roman" w:cs="Times New Roman"/>
            <w:sz w:val="24"/>
            <w:szCs w:val="24"/>
          </w:rPr>
          <w:fldChar w:fldCharType="begin"/>
        </w:r>
        <w:r w:rsidRPr="00942968">
          <w:rPr>
            <w:rFonts w:ascii="Times New Roman" w:hAnsi="Times New Roman" w:cs="Times New Roman"/>
            <w:sz w:val="24"/>
            <w:szCs w:val="24"/>
          </w:rPr>
          <w:instrText xml:space="preserve"> PAGE   \* MERGEFORMAT </w:instrText>
        </w:r>
        <w:r w:rsidR="003B255D" w:rsidRPr="00942968">
          <w:rPr>
            <w:rFonts w:ascii="Times New Roman" w:hAnsi="Times New Roman" w:cs="Times New Roman"/>
            <w:sz w:val="24"/>
            <w:szCs w:val="24"/>
          </w:rPr>
          <w:fldChar w:fldCharType="separate"/>
        </w:r>
        <w:r w:rsidR="001E4701">
          <w:rPr>
            <w:rFonts w:ascii="Times New Roman" w:hAnsi="Times New Roman" w:cs="Times New Roman"/>
            <w:noProof/>
            <w:sz w:val="24"/>
            <w:szCs w:val="24"/>
          </w:rPr>
          <w:t>1</w:t>
        </w:r>
        <w:r w:rsidR="003B255D" w:rsidRPr="00942968">
          <w:rPr>
            <w:rFonts w:ascii="Times New Roman" w:hAnsi="Times New Roman" w:cs="Times New Roman"/>
            <w:sz w:val="24"/>
            <w:szCs w:val="24"/>
          </w:rPr>
          <w:fldChar w:fldCharType="end"/>
        </w:r>
      </w:sdtContent>
    </w:sdt>
  </w:p>
  <w:p w:rsidR="00942968" w:rsidRDefault="009429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wMTI0NjWytDA1NjJU0lEKTi0uzszPAykwqgUAD9En0CwAAAA="/>
  </w:docVars>
  <w:rsids>
    <w:rsidRoot w:val="000F2A5D"/>
    <w:rsid w:val="00011083"/>
    <w:rsid w:val="000D1BE3"/>
    <w:rsid w:val="000F2A5D"/>
    <w:rsid w:val="001E4701"/>
    <w:rsid w:val="00213DC1"/>
    <w:rsid w:val="003B255D"/>
    <w:rsid w:val="00471E13"/>
    <w:rsid w:val="0059762F"/>
    <w:rsid w:val="00792CC4"/>
    <w:rsid w:val="007B7D1C"/>
    <w:rsid w:val="00865D21"/>
    <w:rsid w:val="00942968"/>
    <w:rsid w:val="009F5520"/>
    <w:rsid w:val="00A143AA"/>
    <w:rsid w:val="00A6545F"/>
    <w:rsid w:val="00A834E4"/>
    <w:rsid w:val="00AC7039"/>
    <w:rsid w:val="00AD0F60"/>
    <w:rsid w:val="00B64867"/>
    <w:rsid w:val="00C16884"/>
    <w:rsid w:val="00C8557B"/>
    <w:rsid w:val="00C90321"/>
    <w:rsid w:val="00D740F1"/>
    <w:rsid w:val="00E51F6E"/>
    <w:rsid w:val="00EE1C52"/>
    <w:rsid w:val="00EE709A"/>
    <w:rsid w:val="00F542C7"/>
    <w:rsid w:val="00F930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E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2A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2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968"/>
  </w:style>
  <w:style w:type="paragraph" w:styleId="Footer">
    <w:name w:val="footer"/>
    <w:basedOn w:val="Normal"/>
    <w:link w:val="FooterChar"/>
    <w:uiPriority w:val="99"/>
    <w:semiHidden/>
    <w:unhideWhenUsed/>
    <w:rsid w:val="009429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29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2020-04-09T10:28:00Z</dcterms:created>
  <dcterms:modified xsi:type="dcterms:W3CDTF">2020-04-09T10:28:00Z</dcterms:modified>
</cp:coreProperties>
</file>